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采购需求</w:t>
      </w:r>
    </w:p>
    <w:p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服务要求</w:t>
      </w:r>
      <w:bookmarkStart w:id="1" w:name="_GoBack"/>
      <w:bookmarkEnd w:id="1"/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人员安排：共计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sz w:val="24"/>
          <w:szCs w:val="24"/>
        </w:rPr>
        <w:t>人，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其中老旧小区3人、徽州人家小区7人、丰乐人家小区2人；</w:t>
      </w:r>
      <w:r>
        <w:rPr>
          <w:rFonts w:hint="eastAsia" w:ascii="微软雅黑" w:hAnsi="微软雅黑" w:eastAsia="微软雅黑"/>
          <w:sz w:val="24"/>
          <w:szCs w:val="24"/>
        </w:rPr>
        <w:t>人员年龄6</w:t>
      </w:r>
      <w:r>
        <w:rPr>
          <w:rFonts w:ascii="微软雅黑" w:hAnsi="微软雅黑" w:eastAsia="微软雅黑"/>
          <w:sz w:val="24"/>
          <w:szCs w:val="24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周岁以内。</w:t>
      </w:r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服务费用：2</w:t>
      </w:r>
      <w:r>
        <w:rPr>
          <w:rFonts w:ascii="微软雅黑" w:hAnsi="微软雅黑" w:eastAsia="微软雅黑"/>
          <w:sz w:val="24"/>
          <w:szCs w:val="24"/>
        </w:rPr>
        <w:t>500</w:t>
      </w:r>
      <w:r>
        <w:rPr>
          <w:rFonts w:hint="eastAsia" w:ascii="微软雅黑" w:hAnsi="微软雅黑" w:eastAsia="微软雅黑"/>
          <w:sz w:val="24"/>
          <w:szCs w:val="24"/>
        </w:rPr>
        <w:t>元/人/月，合计：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360000</w:t>
      </w:r>
      <w:r>
        <w:rPr>
          <w:rFonts w:hint="eastAsia" w:ascii="微软雅黑" w:hAnsi="微软雅黑" w:eastAsia="微软雅黑"/>
          <w:sz w:val="24"/>
          <w:szCs w:val="24"/>
        </w:rPr>
        <w:t>元/年。</w:t>
      </w:r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服务配置：要求配置电动巡逻车不少于3辆，电子巡更器不少于3套，电子巡更卡点不少于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115</w:t>
      </w:r>
      <w:r>
        <w:rPr>
          <w:rFonts w:hint="eastAsia" w:ascii="微软雅黑" w:hAnsi="微软雅黑" w:eastAsia="微软雅黑"/>
          <w:sz w:val="24"/>
          <w:szCs w:val="24"/>
        </w:rPr>
        <w:t>个。</w:t>
      </w:r>
    </w:p>
    <w:p>
      <w:pPr>
        <w:pStyle w:val="9"/>
        <w:numPr>
          <w:ilvl w:val="0"/>
          <w:numId w:val="2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服务内容：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对徽州区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管辖</w:t>
      </w:r>
      <w:r>
        <w:rPr>
          <w:rFonts w:hint="eastAsia" w:ascii="微软雅黑" w:hAnsi="微软雅黑" w:eastAsia="微软雅黑"/>
          <w:sz w:val="24"/>
          <w:szCs w:val="24"/>
        </w:rPr>
        <w:t>小区进行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出入口管理、</w:t>
      </w:r>
      <w:r>
        <w:rPr>
          <w:rFonts w:hint="eastAsia" w:ascii="微软雅黑" w:hAnsi="微软雅黑" w:eastAsia="微软雅黑"/>
          <w:sz w:val="24"/>
          <w:szCs w:val="24"/>
        </w:rPr>
        <w:t>消防安全、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设备安全、</w:t>
      </w:r>
      <w:r>
        <w:rPr>
          <w:rFonts w:hint="eastAsia" w:ascii="微软雅黑" w:hAnsi="微软雅黑" w:eastAsia="微软雅黑"/>
          <w:sz w:val="24"/>
          <w:szCs w:val="24"/>
        </w:rPr>
        <w:t>车辆秩序维护、重点位置巡更管理。</w:t>
      </w:r>
    </w:p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具体内容如下：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sz w:val="24"/>
          <w:szCs w:val="24"/>
        </w:rPr>
        <w:t>消防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安全</w:t>
      </w:r>
      <w:r>
        <w:rPr>
          <w:rFonts w:ascii="微软雅黑" w:hAnsi="微软雅黑" w:eastAsia="微软雅黑" w:cs="宋体"/>
          <w:b/>
          <w:bCs/>
          <w:sz w:val="24"/>
          <w:szCs w:val="24"/>
        </w:rPr>
        <w:t>保障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（1）组建消防管理小组对所有项目进行巡查，针对消防隐患提出整改建议并协助政府进行整改；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（2）每月巡查并记录各小区的消防设施状况且做好登记，对楼道灭火器、消火栓进行全方位维护管理，确保其随时能正常使用；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（3）在消防通道张贴消防通道分布图或者设置醒目标识，确保无占用和堵塞消防通道现象；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（4）协助社区并邀请居民开展经常性的消防知识培训，增强广大居区的消防安全意识；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（5）</w:t>
      </w:r>
      <w:r>
        <w:rPr>
          <w:rFonts w:ascii="微软雅黑" w:hAnsi="微软雅黑" w:eastAsia="微软雅黑" w:cs="宋体"/>
          <w:sz w:val="24"/>
          <w:szCs w:val="24"/>
        </w:rPr>
        <w:t>确保消防通道大门的门锁无锈蚀，钥匙统一存放，门锁随时可开启。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（6）</w:t>
      </w:r>
      <w:r>
        <w:rPr>
          <w:rFonts w:ascii="微软雅黑" w:hAnsi="微软雅黑" w:eastAsia="微软雅黑" w:cs="宋体"/>
          <w:sz w:val="24"/>
          <w:szCs w:val="24"/>
        </w:rPr>
        <w:t>确保楼道无堆放杂物或被人占用。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sz w:val="24"/>
          <w:szCs w:val="24"/>
        </w:rPr>
        <w:t>安全秩序维护服务</w:t>
      </w:r>
    </w:p>
    <w:p>
      <w:pPr>
        <w:pStyle w:val="5"/>
        <w:spacing w:line="360" w:lineRule="auto"/>
        <w:ind w:firstLine="480" w:firstLineChars="200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实现“统分结合”的安全协管体系，除在重点区域设立固定安全岗位外，还将设立循环巡查小组、应急事件处理小组，对所有项目进行管控；老旧小区，建筑设施不完善，</w:t>
      </w:r>
      <w:r>
        <w:rPr>
          <w:rFonts w:hint="eastAsia" w:ascii="微软雅黑" w:hAnsi="微软雅黑" w:eastAsia="微软雅黑" w:cs="宋体"/>
          <w:sz w:val="24"/>
          <w:szCs w:val="24"/>
        </w:rPr>
        <w:t>要求</w:t>
      </w:r>
      <w:r>
        <w:rPr>
          <w:rFonts w:ascii="微软雅黑" w:hAnsi="微软雅黑" w:eastAsia="微软雅黑" w:cs="宋体"/>
          <w:sz w:val="24"/>
          <w:szCs w:val="24"/>
        </w:rPr>
        <w:t>采用巡逻车，配备灭火器，24小时机动循环巡查。在小区公示栏公示巡逻人员的联系方式，以便服务于小区业主，以便处理各种突发事件，预防各类治安刑事案件的发生。具体做到以下几点：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（1）无违章停车(机动车、非机动车)现象(城市管理部门在人行道、非机动车道、机动车道旁统一划线，机动车、非机动车在线内停放，且不影响正常交通，这种情况不算作违章停车)。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</w:rPr>
        <w:t>（</w:t>
      </w:r>
      <w:r>
        <w:rPr>
          <w:rFonts w:hint="eastAsia" w:ascii="微软雅黑" w:hAnsi="微软雅黑" w:eastAsia="微软雅黑" w:cs="宋体"/>
          <w:sz w:val="24"/>
          <w:szCs w:val="24"/>
        </w:rPr>
        <w:t>2</w:t>
      </w:r>
      <w:r>
        <w:rPr>
          <w:rFonts w:ascii="微软雅黑" w:hAnsi="微软雅黑" w:eastAsia="微软雅黑" w:cs="宋体"/>
          <w:sz w:val="24"/>
          <w:szCs w:val="24"/>
        </w:rPr>
        <w:t>）无乱张贴小广告、乱设广告牌、乱发小广告现象，无电线私拉乱接现象。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（3）</w:t>
      </w:r>
      <w:r>
        <w:rPr>
          <w:rFonts w:ascii="微软雅黑" w:hAnsi="微软雅黑" w:eastAsia="微软雅黑" w:cs="宋体"/>
          <w:sz w:val="24"/>
          <w:szCs w:val="24"/>
        </w:rPr>
        <w:t>发现形迹可疑、闹事和其他衣着不整的人员阻止其入内。</w:t>
      </w:r>
    </w:p>
    <w:p>
      <w:pPr>
        <w:pStyle w:val="5"/>
        <w:spacing w:line="360" w:lineRule="auto"/>
        <w:textAlignment w:val="top"/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（4）</w:t>
      </w:r>
      <w:r>
        <w:rPr>
          <w:rFonts w:ascii="微软雅黑" w:hAnsi="微软雅黑" w:eastAsia="微软雅黑" w:cs="宋体"/>
          <w:sz w:val="24"/>
          <w:szCs w:val="24"/>
        </w:rPr>
        <w:t>维持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出入</w:t>
      </w:r>
      <w:r>
        <w:rPr>
          <w:rFonts w:ascii="微软雅黑" w:hAnsi="微软雅黑" w:eastAsia="微软雅黑" w:cs="宋体"/>
          <w:sz w:val="24"/>
          <w:szCs w:val="24"/>
        </w:rPr>
        <w:t>口交通秩序，指挥和疏导进出车辆，避免不必要的交通堵塞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，规范立岗，每日立岗时间不少于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2小时，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早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7：00-8：00，晚17：00-18：00。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（5）</w:t>
      </w:r>
      <w:r>
        <w:rPr>
          <w:rFonts w:ascii="微软雅黑" w:hAnsi="微软雅黑" w:eastAsia="微软雅黑" w:cs="宋体"/>
          <w:sz w:val="24"/>
          <w:szCs w:val="24"/>
        </w:rPr>
        <w:t>定时按巡逻线路巡视检查维护秩序。</w:t>
      </w:r>
    </w:p>
    <w:p>
      <w:pPr>
        <w:pStyle w:val="5"/>
        <w:spacing w:line="360" w:lineRule="auto"/>
        <w:textAlignment w:val="top"/>
        <w:rPr>
          <w:rFonts w:hint="default" w:ascii="微软雅黑" w:hAnsi="微软雅黑" w:eastAsia="微软雅黑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sz w:val="24"/>
          <w:szCs w:val="24"/>
          <w:lang w:eastAsia="zh-CN"/>
        </w:rPr>
        <w:t>）每月</w:t>
      </w:r>
      <w:r>
        <w:rPr>
          <w:rFonts w:hint="eastAsia" w:ascii="微软雅黑" w:hAnsi="微软雅黑" w:eastAsia="微软雅黑" w:cs="宋体"/>
          <w:sz w:val="24"/>
          <w:szCs w:val="24"/>
          <w:lang w:val="en-US" w:eastAsia="zh-CN"/>
        </w:rPr>
        <w:t>1号提交上月工作登记本及本月工作安排。</w:t>
      </w:r>
    </w:p>
    <w:p>
      <w:pPr>
        <w:pStyle w:val="5"/>
        <w:spacing w:line="360" w:lineRule="auto"/>
        <w:textAlignment w:val="top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（6）</w:t>
      </w:r>
      <w:r>
        <w:rPr>
          <w:rFonts w:ascii="微软雅黑" w:hAnsi="微软雅黑" w:eastAsia="微软雅黑" w:cs="宋体"/>
          <w:sz w:val="24"/>
          <w:szCs w:val="24"/>
        </w:rPr>
        <w:t>配合开展重大活动及其它相关工作。</w:t>
      </w:r>
    </w:p>
    <w:p>
      <w:pPr>
        <w:tabs>
          <w:tab w:val="left" w:pos="3285"/>
        </w:tabs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绩效考核标准及要求</w:t>
      </w:r>
    </w:p>
    <w:tbl>
      <w:tblPr>
        <w:tblStyle w:val="6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384"/>
        <w:gridCol w:w="2940"/>
        <w:gridCol w:w="126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序号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考评内容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考核分值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扣分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在岗睡觉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5分，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一次扣除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脱岗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10分，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一次扣除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迟到、早退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10分，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10分钟以内的，给予警告；10-30分钟的，一次扣除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分；30分钟以上的，一次扣除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分。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对于不服从领导工作安排和工作调动者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10分，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一次扣除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(特别严重另外处理)。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5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对于管辖区域内消防安全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灭火器每月检查一次，消防栓每季度检查一次，发现未检查或漏检查的消防栓与灭火器一次扣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10分。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6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对于巡逻点位打卡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每个小区设置至少一个巡逻打卡点，要求每</w:t>
            </w:r>
            <w:r>
              <w:rPr>
                <w:rFonts w:ascii="微软雅黑" w:hAnsi="微软雅黑" w:eastAsia="微软雅黑" w:cs="宋体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个小时至少打卡一次，发现超过时间未打卡或漏打卡，一次扣</w:t>
            </w:r>
            <w:r>
              <w:rPr>
                <w:rFonts w:ascii="微软雅黑" w:hAnsi="微软雅黑" w:eastAsia="微软雅黑" w:cs="宋体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7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对于交通堵塞、小区占用消防通道，违法乱停。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服务中心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接到类似事件，要求秩序维护人员3</w:t>
            </w:r>
            <w:r>
              <w:rPr>
                <w:rFonts w:ascii="微软雅黑" w:hAnsi="微软雅黑" w:eastAsia="微软雅黑" w:cs="宋体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分钟内到场处理，超过时间或引起投诉的，每次扣5分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z w:val="24"/>
                <w:szCs w:val="24"/>
              </w:rPr>
              <w:t>8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工作时间存在不符合着装规范(包括: 披衣敞怀、挽袖、卷裤腿、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穿拖鞋、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歪戴帽子、上衣未扎进腰带里)、有损形象（抽烟、喝酒等）的行为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5分，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一次扣除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(特别严重另外处理)。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z w:val="24"/>
                <w:szCs w:val="24"/>
              </w:rPr>
              <w:t>9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对于酒后执勤、驾驶或进入娱乐场所的；工作时间进入麻将厅、网吧或驻足观看打牌、下棋等行为；因管理简单粗暴、引发纠纷、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顶撞客户或领导者、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查证属实确属己方责任；直接引发群体性暴力事件。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20分，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对于酒后执勤、驾驶或着制服进入娱乐场所的，给予一次扣除5分；工作时间进入麻将厅、网吧或驻足观看打牌、下棋等行为，一次扣除10分；因管理简单粗暴、引发纠纷、查证属实确属己方责任，一次扣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分；直接引发群体性暴力事件，一次扣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分。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z w:val="24"/>
                <w:szCs w:val="24"/>
              </w:rPr>
              <w:t>10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对于“吃、拿、卡、要”现象。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对于“吃、拿、卡、要”现象一经发现一次扣除</w:t>
            </w:r>
            <w:r>
              <w:rPr>
                <w:rFonts w:ascii="微软雅黑" w:hAnsi="微软雅黑" w:eastAsia="微软雅黑" w:cs="宋体"/>
                <w:sz w:val="24"/>
                <w:szCs w:val="24"/>
              </w:rPr>
              <w:t>5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z w:val="24"/>
                <w:szCs w:val="24"/>
              </w:rPr>
              <w:t>11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应急突发事件的协助处置。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未协相关部门做好应急突发事件的现场处置，一次扣除</w:t>
            </w:r>
            <w:r>
              <w:rPr>
                <w:rFonts w:ascii="微软雅黑" w:hAnsi="微软雅黑" w:eastAsia="微软雅黑" w:cs="宋体"/>
                <w:sz w:val="24"/>
                <w:szCs w:val="24"/>
              </w:rPr>
              <w:t>5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sz w:val="24"/>
                <w:szCs w:val="24"/>
              </w:rPr>
              <w:t>12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交办的临时性事务的处置。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微软雅黑" w:hAnsi="微软雅黑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未完成交办的临时性事务的处置，一次扣除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，总分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考核说明：采购人将根据上述考核标准及要求，对保安队员购买服务进行月度考核，考核结果与中标人的人员服务费用挂钩，采购人每月将考核结果反馈给中标人，月度考核不达标人数占总人数50%以上的，采购人有权终止合同。</w:t>
      </w:r>
    </w:p>
    <w:p>
      <w:pPr>
        <w:spacing w:line="5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1、考核分为四个等级：90分（含）以上为优秀；80分（含）-90分（不含）为良好；60分（含）-80分（不含）为基本达标；60分（不含）以下为不达标。</w:t>
      </w:r>
    </w:p>
    <w:p>
      <w:pPr>
        <w:pStyle w:val="2"/>
        <w:ind w:firstLine="480" w:firstLineChars="200"/>
        <w:rPr>
          <w:rFonts w:ascii="微软雅黑" w:hAnsi="微软雅黑" w:eastAsia="微软雅黑"/>
          <w:color w:val="auto"/>
          <w:kern w:val="2"/>
        </w:rPr>
      </w:pPr>
      <w:r>
        <w:rPr>
          <w:rFonts w:ascii="微软雅黑" w:hAnsi="微软雅黑" w:eastAsia="微软雅黑"/>
          <w:color w:val="auto"/>
          <w:kern w:val="2"/>
        </w:rPr>
        <w:t>2</w:t>
      </w:r>
      <w:r>
        <w:rPr>
          <w:rFonts w:hint="eastAsia" w:ascii="微软雅黑" w:hAnsi="微软雅黑" w:eastAsia="微软雅黑"/>
          <w:color w:val="auto"/>
          <w:kern w:val="2"/>
        </w:rPr>
        <w:t>、服务费用分别对应考核结果，月度考核服务基本达标者以上的，每项不合格扣除当月服务费</w:t>
      </w:r>
      <w:r>
        <w:rPr>
          <w:rFonts w:ascii="微软雅黑" w:hAnsi="微软雅黑" w:eastAsia="微软雅黑"/>
          <w:color w:val="auto"/>
          <w:kern w:val="2"/>
        </w:rPr>
        <w:t>30</w:t>
      </w:r>
      <w:r>
        <w:rPr>
          <w:rFonts w:hint="eastAsia" w:ascii="微软雅黑" w:hAnsi="微软雅黑" w:eastAsia="微软雅黑"/>
          <w:color w:val="auto"/>
          <w:kern w:val="2"/>
        </w:rPr>
        <w:t>元/项。</w:t>
      </w:r>
    </w:p>
    <w:p>
      <w:pPr>
        <w:pStyle w:val="2"/>
        <w:ind w:firstLine="480" w:firstLineChars="200"/>
        <w:rPr>
          <w:rFonts w:ascii="微软雅黑" w:hAnsi="微软雅黑" w:eastAsia="微软雅黑"/>
          <w:color w:val="auto"/>
          <w:kern w:val="2"/>
        </w:rPr>
      </w:pPr>
      <w:r>
        <w:rPr>
          <w:rFonts w:ascii="微软雅黑" w:hAnsi="微软雅黑" w:eastAsia="微软雅黑"/>
          <w:color w:val="auto"/>
          <w:kern w:val="2"/>
        </w:rPr>
        <w:t>3</w:t>
      </w:r>
      <w:r>
        <w:rPr>
          <w:rFonts w:hint="eastAsia" w:ascii="微软雅黑" w:hAnsi="微软雅黑" w:eastAsia="微软雅黑"/>
          <w:color w:val="auto"/>
          <w:kern w:val="2"/>
        </w:rPr>
        <w:t>、月度考核不达标或低于6</w:t>
      </w:r>
      <w:r>
        <w:rPr>
          <w:rFonts w:ascii="微软雅黑" w:hAnsi="微软雅黑" w:eastAsia="微软雅黑"/>
          <w:color w:val="auto"/>
          <w:kern w:val="2"/>
        </w:rPr>
        <w:t>0</w:t>
      </w:r>
      <w:r>
        <w:rPr>
          <w:rFonts w:hint="eastAsia" w:ascii="微软雅黑" w:hAnsi="微软雅黑" w:eastAsia="微软雅黑"/>
          <w:color w:val="auto"/>
          <w:kern w:val="2"/>
        </w:rPr>
        <w:t>分（不含）以下的，每项不合格扣除当月服务费</w:t>
      </w:r>
      <w:r>
        <w:rPr>
          <w:rFonts w:ascii="微软雅黑" w:hAnsi="微软雅黑" w:eastAsia="微软雅黑"/>
          <w:color w:val="auto"/>
          <w:kern w:val="2"/>
        </w:rPr>
        <w:t>100</w:t>
      </w:r>
      <w:r>
        <w:rPr>
          <w:rFonts w:hint="eastAsia" w:ascii="微软雅黑" w:hAnsi="微软雅黑" w:eastAsia="微软雅黑"/>
          <w:color w:val="auto"/>
          <w:kern w:val="2"/>
        </w:rPr>
        <w:t>元/项。</w:t>
      </w:r>
    </w:p>
    <w:p>
      <w:pPr>
        <w:pStyle w:val="2"/>
        <w:ind w:firstLine="480" w:firstLineChars="200"/>
        <w:rPr>
          <w:rFonts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  <w:kern w:val="2"/>
        </w:rPr>
        <w:t>4、全年累计</w:t>
      </w:r>
      <w:r>
        <w:rPr>
          <w:rFonts w:ascii="微软雅黑" w:hAnsi="微软雅黑" w:eastAsia="微软雅黑"/>
          <w:color w:val="auto"/>
          <w:kern w:val="2"/>
        </w:rPr>
        <w:t>3</w:t>
      </w:r>
      <w:r>
        <w:rPr>
          <w:rFonts w:hint="eastAsia" w:ascii="微软雅黑" w:hAnsi="微软雅黑" w:eastAsia="微软雅黑"/>
          <w:color w:val="auto"/>
          <w:kern w:val="2"/>
        </w:rPr>
        <w:t>次及以上低于6</w:t>
      </w:r>
      <w:r>
        <w:rPr>
          <w:rFonts w:ascii="微软雅黑" w:hAnsi="微软雅黑" w:eastAsia="微软雅黑"/>
          <w:color w:val="auto"/>
          <w:kern w:val="2"/>
        </w:rPr>
        <w:t>0</w:t>
      </w:r>
      <w:r>
        <w:rPr>
          <w:rFonts w:hint="eastAsia" w:ascii="微软雅黑" w:hAnsi="微软雅黑" w:eastAsia="微软雅黑"/>
          <w:color w:val="auto"/>
          <w:kern w:val="2"/>
        </w:rPr>
        <w:t>分值以下的，采购人有权终止合同。</w:t>
      </w:r>
    </w:p>
    <w:p>
      <w:pPr>
        <w:pStyle w:val="10"/>
        <w:jc w:val="center"/>
      </w:pPr>
      <w:r>
        <w:rPr>
          <w:color w:val="auto"/>
        </w:rPr>
        <w:br w:type="page"/>
      </w:r>
      <w:bookmarkStart w:id="0" w:name="_Toc62727177"/>
      <w:r>
        <w:rPr>
          <w:rFonts w:hint="eastAsia"/>
        </w:rPr>
        <w:t>二、商务要求</w:t>
      </w:r>
      <w:bookmarkEnd w:id="0"/>
    </w:p>
    <w:p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16"/>
        <w:gridCol w:w="6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636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黄山丰润置业有限公司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提供服务的期限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服务期一年；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售后服务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按采购人需求进行售后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付款人：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highlight w:val="none"/>
              </w:rPr>
              <w:t>黄山丰润置业有限公司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付款方式：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  <w:highlight w:val="none"/>
              </w:rPr>
              <w:t>按合同中一年总价款的1/4按季度为单位向中标人结算，合同执行期间，若考核不合格采购人需提前一个月通知终止合同</w:t>
            </w:r>
            <w:r>
              <w:rPr>
                <w:rFonts w:hint="eastAsia"/>
                <w:b w:val="0"/>
                <w:bCs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</w:tc>
        <w:tc>
          <w:tcPr>
            <w:tcW w:w="6363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合同金额的10%。</w:t>
            </w:r>
            <w:r>
              <w:rPr>
                <w:rFonts w:hint="eastAsia" w:ascii="宋体" w:hAnsi="宋体" w:cs="宋体"/>
                <w:kern w:val="0"/>
                <w:szCs w:val="21"/>
              </w:rPr>
              <w:t>其中投标保证金（如有）采用转账或电汇方式的直接转为履约保证金（留存投标保证金所在账户），不足部分向采购人交纳；若非采用转账或电汇方式的，则按照履约保证金的数额直接向采购人交纳。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②需要向采购人交纳的部分（如有）可采用转账、电汇、支票、汇票、本票、保险、保函等非现金形式。</w:t>
            </w:r>
          </w:p>
        </w:tc>
      </w:tr>
    </w:tbl>
    <w:p>
      <w:r>
        <w:rPr>
          <w:rFonts w:hint="eastAsia"/>
        </w:rPr>
        <w:t xml:space="preserve">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04DEF"/>
    <w:multiLevelType w:val="multilevel"/>
    <w:tmpl w:val="3D604DE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BA6E12"/>
    <w:multiLevelType w:val="multilevel"/>
    <w:tmpl w:val="61BA6E1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06BE"/>
    <w:rsid w:val="7F5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bidi="he-IL"/>
    </w:rPr>
  </w:style>
  <w:style w:type="paragraph" w:customStyle="1" w:styleId="8">
    <w:name w:val="H1"/>
    <w:basedOn w:val="3"/>
    <w:next w:val="1"/>
    <w:qFormat/>
    <w:uiPriority w:val="0"/>
    <w:pPr>
      <w:spacing w:line="600" w:lineRule="exact"/>
      <w:jc w:val="center"/>
    </w:pPr>
    <w:rPr>
      <w:rFonts w:ascii="宋体" w:hAnsi="宋体" w:eastAsia="黑体"/>
      <w:color w:val="000000"/>
      <w:sz w:val="32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H2"/>
    <w:basedOn w:val="4"/>
    <w:next w:val="1"/>
    <w:qFormat/>
    <w:uiPriority w:val="0"/>
    <w:pPr>
      <w:keepNext w:val="0"/>
      <w:keepLines w:val="0"/>
      <w:spacing w:before="0" w:after="0" w:line="360" w:lineRule="auto"/>
      <w:jc w:val="center"/>
    </w:pPr>
    <w:rPr>
      <w:rFonts w:ascii="宋体" w:hAnsi="宋体" w:cs="Arial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2022-06-13T01:00:00Z</dcterms:created>
  <dc:creator> 合普小吴</dc:creator>
  <cp:lastModifiedBy> 合普小吴</cp:lastModifiedBy>
  <dcterms:modified xsi:type="dcterms:W3CDTF">2022-06-13T01:01:10Z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20A8A298B96041DF911D300C6FA53E8B</vt:lpwstr>
  </property>
</Properties>
</file>